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ПОРЯДОК ДЕЙСТВИ</w:t>
      </w:r>
      <w:r>
        <w:rPr>
          <w:rFonts w:ascii="Times New Roman" w:hAnsi="Times New Roman" w:cs="Times New Roman"/>
          <w:b/>
          <w:sz w:val="28"/>
          <w:szCs w:val="28"/>
        </w:rPr>
        <w:t xml:space="preserve">Й</w:t>
      </w:r>
      <w:r>
        <w:rPr>
          <w:rFonts w:ascii="Times New Roman" w:hAnsi="Times New Roman" w:cs="Times New Roman"/>
          <w:b/>
          <w:sz w:val="28"/>
          <w:szCs w:val="28"/>
        </w:rPr>
        <w:t xml:space="preserve"> ДЛЯ ЮРИДИЧЕСКИХ ЛИЦ</w:t>
      </w:r>
      <w:r>
        <w:rPr>
          <w:rFonts w:ascii="Times New Roman" w:hAnsi="Times New Roman" w:cs="Times New Roman"/>
          <w:b/>
          <w:sz w:val="28"/>
          <w:szCs w:val="28"/>
        </w:rPr>
        <w:t xml:space="preserve">, ИНДИВИДУАЛЬНЫХ ПРЕДПРИНИМАТЕЛЕЙ, ФИЗИЧЕСКИХ ЛИЦ, ОСУЩЕСТВЛЯЮЩИХ ОТХОДООБРАЗОВАНИЕ В НЕЖИЛОМ ФОНДЕ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center"/>
        <w:spacing w:after="0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для заключения договора на оказание услуг по обращению с твердыми коммунальными отходами </w:t>
      </w:r>
      <w:r>
        <w:rPr>
          <w:rFonts w:ascii="Times New Roman" w:hAnsi="Times New Roman" w:cs="Times New Roman"/>
          <w:szCs w:val="28"/>
        </w:rPr>
        <w:br/>
        <w:t xml:space="preserve">с региональным оператором по обращению с твердыми коммунальными отходами на территории города федерального значения Санкт-Петербурга – Акционерным обществом «Невский экологический оператор»</w:t>
      </w:r>
      <w:r>
        <w:rPr>
          <w:rFonts w:ascii="Times New Roman" w:hAnsi="Times New Roman" w:cs="Times New Roman"/>
          <w:szCs w:val="28"/>
        </w:rPr>
      </w:r>
      <w:r>
        <w:rPr>
          <w:rFonts w:ascii="Times New Roman" w:hAnsi="Times New Roman" w:cs="Times New Roman"/>
          <w:szCs w:val="28"/>
        </w:rPr>
      </w:r>
    </w:p>
    <w:p>
      <w:pPr>
        <w:ind w:firstLine="709"/>
        <w:jc w:val="both"/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Согласно части 4 статьи</w:t>
      </w:r>
      <w:r>
        <w:rPr>
          <w:rFonts w:ascii="Times New Roman" w:hAnsi="Times New Roman" w:cs="Times New Roman"/>
          <w:sz w:val="28"/>
          <w:szCs w:val="28"/>
        </w:rPr>
        <w:t xml:space="preserve"> 24.7 Федерального закона </w:t>
      </w:r>
      <w:r>
        <w:rPr>
          <w:rFonts w:ascii="Times New Roman" w:hAnsi="Times New Roman" w:cs="Times New Roman"/>
          <w:sz w:val="28"/>
          <w:szCs w:val="28"/>
        </w:rPr>
        <w:t xml:space="preserve">от 24.06.1998 № 89-ФЗ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«Об отходах производства и потребления</w:t>
      </w:r>
      <w:r>
        <w:rPr>
          <w:rFonts w:ascii="Times New Roman" w:hAnsi="Times New Roman" w:cs="Times New Roman"/>
          <w:sz w:val="28"/>
          <w:szCs w:val="28"/>
        </w:rPr>
        <w:t xml:space="preserve">»</w:t>
      </w:r>
      <w:r>
        <w:rPr>
          <w:rFonts w:ascii="Times New Roman" w:hAnsi="Times New Roman" w:cs="Times New Roman"/>
          <w:sz w:val="28"/>
          <w:szCs w:val="28"/>
        </w:rPr>
        <w:t xml:space="preserve"> (далее – Федеральный закон № 89-ФЗ)</w:t>
      </w:r>
      <w:r>
        <w:rPr>
          <w:rFonts w:ascii="Times New Roman" w:hAnsi="Times New Roman" w:cs="Times New Roman"/>
          <w:sz w:val="28"/>
          <w:szCs w:val="28"/>
        </w:rPr>
        <w:t xml:space="preserve">, собственники твердых коммунальных отходов обязаны заключить договор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на оказание услуг по обращению с твердыми коммунальными отходами </w:t>
      </w:r>
      <w:r>
        <w:rPr>
          <w:rFonts w:ascii="Times New Roman" w:hAnsi="Times New Roman" w:cs="Times New Roman"/>
          <w:sz w:val="28"/>
          <w:szCs w:val="28"/>
        </w:rPr>
        <w:br/>
        <w:t xml:space="preserve">(далее – ТКО) </w:t>
      </w:r>
      <w:r>
        <w:rPr>
          <w:rFonts w:ascii="Times New Roman" w:hAnsi="Times New Roman" w:cs="Times New Roman"/>
          <w:sz w:val="28"/>
          <w:szCs w:val="28"/>
        </w:rPr>
        <w:t xml:space="preserve">с региональным оператором</w:t>
      </w:r>
      <w:r>
        <w:rPr>
          <w:rFonts w:ascii="Times New Roman" w:hAnsi="Times New Roman" w:cs="Times New Roman"/>
          <w:sz w:val="28"/>
          <w:szCs w:val="28"/>
        </w:rPr>
        <w:t xml:space="preserve"> по обращению с ТКО</w:t>
      </w:r>
      <w:r>
        <w:rPr>
          <w:rFonts w:ascii="Times New Roman" w:hAnsi="Times New Roman" w:cs="Times New Roman"/>
          <w:sz w:val="28"/>
          <w:szCs w:val="28"/>
        </w:rPr>
        <w:t xml:space="preserve">, в зоне деятельности которого образуются </w:t>
      </w:r>
      <w:r>
        <w:rPr>
          <w:rFonts w:ascii="Times New Roman" w:hAnsi="Times New Roman" w:cs="Times New Roman"/>
          <w:sz w:val="28"/>
          <w:szCs w:val="28"/>
        </w:rPr>
        <w:t xml:space="preserve">ТКО </w:t>
      </w:r>
      <w:r>
        <w:rPr>
          <w:rFonts w:ascii="Times New Roman" w:hAnsi="Times New Roman" w:cs="Times New Roman"/>
          <w:sz w:val="28"/>
          <w:szCs w:val="28"/>
        </w:rPr>
        <w:t xml:space="preserve">и находятся места их накопления.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>
        <w:rPr>
          <w:rFonts w:ascii="Times New Roman" w:hAnsi="Times New Roman" w:cs="Times New Roman"/>
          <w:sz w:val="28"/>
          <w:szCs w:val="28"/>
        </w:rPr>
        <w:t xml:space="preserve">Соглашением об организации деятельности по обращению с твердыми коммунальными отходами на территории города федерального значения Санкт-Петербурга от 02.09.2021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Акционерное общество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 xml:space="preserve">Невский</w:t>
      </w:r>
      <w:r>
        <w:rPr>
          <w:rFonts w:ascii="Times New Roman" w:hAnsi="Times New Roman" w:cs="Times New Roman"/>
          <w:sz w:val="28"/>
          <w:szCs w:val="28"/>
        </w:rPr>
        <w:t xml:space="preserve"> экологический оператор» (далее – Региональный оператор) наделено статусом регионального оператора по обращению с </w:t>
      </w:r>
      <w:r>
        <w:rPr>
          <w:rFonts w:ascii="Times New Roman" w:hAnsi="Times New Roman" w:cs="Times New Roman"/>
          <w:sz w:val="28"/>
          <w:szCs w:val="28"/>
        </w:rPr>
        <w:t xml:space="preserve">ТКО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городе федерального значения</w:t>
      </w:r>
      <w:r>
        <w:rPr>
          <w:rFonts w:ascii="Times New Roman" w:hAnsi="Times New Roman" w:cs="Times New Roman"/>
          <w:sz w:val="28"/>
          <w:szCs w:val="28"/>
        </w:rPr>
        <w:t xml:space="preserve"> Санкт-Петербург</w:t>
      </w:r>
      <w:r>
        <w:rPr>
          <w:rFonts w:ascii="Times New Roman" w:hAnsi="Times New Roman" w:cs="Times New Roman"/>
          <w:sz w:val="28"/>
          <w:szCs w:val="28"/>
        </w:rPr>
        <w:t xml:space="preserve">е</w:t>
      </w:r>
      <w:r>
        <w:rPr>
          <w:rFonts w:ascii="Times New Roman" w:hAnsi="Times New Roman" w:cs="Times New Roman"/>
          <w:sz w:val="28"/>
          <w:szCs w:val="28"/>
        </w:rPr>
        <w:t xml:space="preserve">. При этом, предметом деятельности Регионального оператора является обращение с </w:t>
      </w:r>
      <w:r>
        <w:rPr>
          <w:rFonts w:ascii="Times New Roman" w:hAnsi="Times New Roman" w:cs="Times New Roman"/>
          <w:sz w:val="28"/>
          <w:szCs w:val="28"/>
        </w:rPr>
        <w:t xml:space="preserve">ТКО</w:t>
      </w:r>
      <w:r>
        <w:rPr>
          <w:rFonts w:ascii="Times New Roman" w:hAnsi="Times New Roman" w:cs="Times New Roman"/>
          <w:sz w:val="28"/>
          <w:szCs w:val="28"/>
        </w:rPr>
        <w:t xml:space="preserve"> на территории </w:t>
      </w:r>
      <w:r>
        <w:rPr>
          <w:rFonts w:ascii="Times New Roman" w:hAnsi="Times New Roman" w:cs="Times New Roman"/>
          <w:sz w:val="28"/>
          <w:szCs w:val="28"/>
        </w:rPr>
        <w:t xml:space="preserve">Санкт-Петербурга</w:t>
      </w:r>
      <w:r>
        <w:rPr>
          <w:rFonts w:ascii="Times New Roman" w:hAnsi="Times New Roman" w:cs="Times New Roman"/>
          <w:sz w:val="28"/>
          <w:szCs w:val="28"/>
        </w:rPr>
        <w:t xml:space="preserve">, включая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накопление</w:t>
      </w:r>
      <w:r>
        <w:rPr>
          <w:rFonts w:ascii="Times New Roman" w:hAnsi="Times New Roman" w:cs="Times New Roman"/>
          <w:b/>
          <w:sz w:val="28"/>
          <w:szCs w:val="28"/>
        </w:rPr>
        <w:t xml:space="preserve">,</w:t>
      </w:r>
      <w:r>
        <w:rPr>
          <w:rFonts w:ascii="Times New Roman" w:hAnsi="Times New Roman" w:cs="Times New Roman"/>
          <w:sz w:val="28"/>
          <w:szCs w:val="28"/>
        </w:rPr>
        <w:t xml:space="preserve"> транспортирование, обработку, утилизацию, обезвреживание, захоронение ТКО.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Коммунальная услуга по обращению с </w:t>
      </w:r>
      <w:r>
        <w:rPr>
          <w:rFonts w:ascii="Times New Roman" w:hAnsi="Times New Roman" w:cs="Times New Roman"/>
          <w:sz w:val="28"/>
          <w:szCs w:val="28"/>
        </w:rPr>
        <w:t xml:space="preserve">ТКО </w:t>
      </w:r>
      <w:r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>
        <w:rPr>
          <w:rFonts w:ascii="Times New Roman" w:hAnsi="Times New Roman" w:cs="Times New Roman"/>
          <w:sz w:val="28"/>
          <w:szCs w:val="28"/>
        </w:rPr>
        <w:t xml:space="preserve">Санкт-Петербурга </w:t>
      </w:r>
      <w:r>
        <w:rPr>
          <w:rFonts w:ascii="Times New Roman" w:hAnsi="Times New Roman" w:cs="Times New Roman"/>
          <w:sz w:val="28"/>
          <w:szCs w:val="28"/>
        </w:rPr>
        <w:t xml:space="preserve">Р</w:t>
      </w:r>
      <w:r>
        <w:rPr>
          <w:rFonts w:ascii="Times New Roman" w:hAnsi="Times New Roman" w:cs="Times New Roman"/>
          <w:sz w:val="28"/>
          <w:szCs w:val="28"/>
        </w:rPr>
        <w:t xml:space="preserve">егиональным оператором будет предоставляться потребителям с 01.01.202</w:t>
      </w:r>
      <w:r>
        <w:rPr>
          <w:rFonts w:ascii="Times New Roman" w:hAnsi="Times New Roman" w:cs="Times New Roman"/>
          <w:sz w:val="28"/>
          <w:szCs w:val="28"/>
        </w:rPr>
        <w:t xml:space="preserve">2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Порядок заключения договора предусмотрен </w:t>
      </w:r>
      <w:r>
        <w:rPr>
          <w:rFonts w:ascii="Times New Roman" w:hAnsi="Times New Roman" w:cs="Times New Roman"/>
          <w:sz w:val="28"/>
          <w:szCs w:val="28"/>
        </w:rPr>
        <w:t xml:space="preserve">Федеральным законом № 89-ФЗ</w:t>
      </w:r>
      <w:r>
        <w:rPr>
          <w:rFonts w:ascii="Times New Roman" w:hAnsi="Times New Roman" w:cs="Times New Roman"/>
          <w:sz w:val="28"/>
          <w:szCs w:val="28"/>
        </w:rPr>
        <w:br/>
        <w:t xml:space="preserve">и Правилами обращения с твердыми коммунальными отходами, утвержденными</w:t>
      </w:r>
      <w:r>
        <w:rPr>
          <w:rFonts w:ascii="Times New Roman" w:hAnsi="Times New Roman" w:cs="Times New Roman"/>
          <w:sz w:val="28"/>
          <w:szCs w:val="28"/>
        </w:rPr>
        <w:t xml:space="preserve"> постановлением Правительства Р</w:t>
      </w:r>
      <w:r>
        <w:rPr>
          <w:rFonts w:ascii="Times New Roman" w:hAnsi="Times New Roman" w:cs="Times New Roman"/>
          <w:sz w:val="28"/>
          <w:szCs w:val="28"/>
        </w:rPr>
        <w:t xml:space="preserve">оссийской </w:t>
      </w:r>
      <w:r>
        <w:rPr>
          <w:rFonts w:ascii="Times New Roman" w:hAnsi="Times New Roman" w:cs="Times New Roman"/>
          <w:sz w:val="28"/>
          <w:szCs w:val="28"/>
        </w:rPr>
        <w:t xml:space="preserve">Ф</w:t>
      </w:r>
      <w:r>
        <w:rPr>
          <w:rFonts w:ascii="Times New Roman" w:hAnsi="Times New Roman" w:cs="Times New Roman"/>
          <w:sz w:val="28"/>
          <w:szCs w:val="28"/>
        </w:rPr>
        <w:t xml:space="preserve">едерации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от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07.03.2025 N 293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  <w:t xml:space="preserve">(далее – Правила).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76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Согласно положениям пункта 2 Правил потребитель –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собственник ТКО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заключивший или обязанный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заключить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с р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егиональным оператором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по обращению с ТКО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договор на оказание услуг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по обращению с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ТКО.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пунктом </w:t>
      </w:r>
      <w:r>
        <w:rPr>
          <w:rFonts w:ascii="Times New Roman" w:hAnsi="Times New Roman" w:cs="Times New Roman"/>
          <w:sz w:val="28"/>
          <w:szCs w:val="28"/>
        </w:rPr>
        <w:t xml:space="preserve">8.24 Постанов</w:t>
      </w:r>
      <w:r>
        <w:rPr>
          <w:rFonts w:ascii="Times New Roman" w:hAnsi="Times New Roman" w:cs="Times New Roman"/>
          <w:sz w:val="28"/>
          <w:szCs w:val="28"/>
        </w:rPr>
        <w:t xml:space="preserve">ления Правительства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№ 293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если потребитель (уполномоченная организация) не направил региональному оператору заявку потребителя и документы, договор на оказание услуг по обращению с твердыми коммунальными отходами считаетс</w:t>
      </w:r>
      <w:r>
        <w:rPr>
          <w:rFonts w:ascii="Times New Roman" w:hAnsi="Times New Roman" w:cs="Times New Roman"/>
          <w:sz w:val="28"/>
          <w:szCs w:val="28"/>
        </w:rPr>
        <w:t xml:space="preserve">я заключенным на 16-й рабочий день со дня размещения региональным оператором предложения о заключении указанного договора на своем официальном сайте в сети "Интернет" </w:t>
      </w:r>
      <w:r>
        <w:rPr>
          <w:rFonts w:ascii="Times New Roman" w:hAnsi="Times New Roman" w:cs="Times New Roman"/>
          <w:sz w:val="28"/>
          <w:szCs w:val="28"/>
        </w:rPr>
        <w:t xml:space="preserve">(далее – сеть «Интернет»)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www</w:t>
      </w:r>
      <w:r>
        <w:rPr>
          <w:rFonts w:ascii="Times New Roman" w:hAnsi="Times New Roman" w:cs="Times New Roman"/>
          <w:sz w:val="28"/>
          <w:szCs w:val="28"/>
        </w:rPr>
        <w:t xml:space="preserve">.spb-neo.ru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Дата начала рас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чета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с даты начала оказания услуг Р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егиональным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оператором – 01.01.2022.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firstLine="709"/>
        <w:jc w:val="center"/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center"/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center"/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Порядок предоставления заявки: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center"/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1.Скачать пакет документов для заключения договора </w:t>
      </w:r>
      <w:r>
        <w:rPr>
          <w:rFonts w:ascii="Times New Roman" w:hAnsi="Times New Roman" w:cs="Times New Roman"/>
          <w:sz w:val="28"/>
          <w:szCs w:val="28"/>
        </w:rPr>
        <w:t xml:space="preserve">на о</w:t>
      </w:r>
      <w:r>
        <w:rPr>
          <w:rFonts w:ascii="Times New Roman" w:hAnsi="Times New Roman" w:cs="Times New Roman"/>
          <w:sz w:val="28"/>
          <w:szCs w:val="28"/>
        </w:rPr>
        <w:t xml:space="preserve">казание услуг </w:t>
      </w:r>
      <w:r>
        <w:rPr>
          <w:rFonts w:ascii="Times New Roman" w:hAnsi="Times New Roman" w:cs="Times New Roman"/>
          <w:sz w:val="28"/>
          <w:szCs w:val="28"/>
        </w:rPr>
        <w:br/>
        <w:t xml:space="preserve">по обращению с ТКО</w:t>
      </w:r>
      <w:r>
        <w:rPr>
          <w:rFonts w:ascii="Times New Roman" w:hAnsi="Times New Roman" w:cs="Times New Roman"/>
          <w:sz w:val="28"/>
          <w:szCs w:val="28"/>
        </w:rPr>
        <w:t xml:space="preserve"> Региональным оператором размещенного на </w:t>
      </w:r>
      <w:r>
        <w:rPr>
          <w:rFonts w:ascii="Times New Roman" w:hAnsi="Times New Roman" w:cs="Times New Roman"/>
          <w:sz w:val="28"/>
          <w:szCs w:val="28"/>
        </w:rPr>
        <w:t xml:space="preserve">официальном </w:t>
      </w:r>
      <w:r>
        <w:rPr>
          <w:rFonts w:ascii="Times New Roman" w:hAnsi="Times New Roman" w:cs="Times New Roman"/>
          <w:sz w:val="28"/>
          <w:szCs w:val="28"/>
        </w:rPr>
        <w:t xml:space="preserve">сайте</w:t>
      </w:r>
      <w:r>
        <w:rPr>
          <w:rFonts w:ascii="Times New Roman" w:hAnsi="Times New Roman" w:cs="Times New Roman"/>
          <w:sz w:val="28"/>
          <w:szCs w:val="28"/>
        </w:rPr>
        <w:t xml:space="preserve"> в сети «Интернет»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www</w:t>
      </w:r>
      <w:r>
        <w:rPr>
          <w:rFonts w:ascii="Times New Roman" w:hAnsi="Times New Roman" w:cs="Times New Roman"/>
          <w:sz w:val="28"/>
          <w:szCs w:val="28"/>
        </w:rPr>
        <w:t xml:space="preserve">.spb-neo.ru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Заполнить заявку, р</w:t>
      </w:r>
      <w:r>
        <w:rPr>
          <w:rFonts w:ascii="Times New Roman" w:hAnsi="Times New Roman" w:cs="Times New Roman"/>
          <w:sz w:val="28"/>
          <w:szCs w:val="28"/>
        </w:rPr>
        <w:t xml:space="preserve">аспечатать, подписать и удостоверить</w:t>
      </w:r>
      <w:r>
        <w:rPr>
          <w:rFonts w:ascii="Times New Roman" w:hAnsi="Times New Roman" w:cs="Times New Roman"/>
          <w:sz w:val="28"/>
          <w:szCs w:val="28"/>
        </w:rPr>
        <w:t xml:space="preserve"> печатью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  <w:t xml:space="preserve">(при наличии)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п. 2 Заявки заполняется путем выбора вида деятельности из выпадающего списка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 п. 4 Заявки указать количество расчетных единиц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 - раздел 5 - при наличии индивидуальной контейнерной площадки у потребителя, принадлежащей </w:t>
      </w:r>
      <w:r>
        <w:rPr>
          <w:rFonts w:ascii="Times New Roman" w:hAnsi="Times New Roman" w:cs="Times New Roman"/>
          <w:sz w:val="28"/>
          <w:szCs w:val="28"/>
        </w:rPr>
        <w:t xml:space="preserve">ему на праве собственности или ином законном праве, необходимо заполнить раздел 5 заявки. Обращаем внимание потребителей, что, заполняя раздел 5 заявки, потребитель дает согласие на применение метода коммерческого учета по количеству и объему контейнеров.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Важно! Способ коммерческого учета по объему и количеству контейнеров  будет применяться</w:t>
      </w:r>
      <w:r>
        <w:rPr>
          <w:rFonts w:ascii="Times New Roman" w:hAnsi="Times New Roman" w:cs="Times New Roman"/>
          <w:sz w:val="28"/>
          <w:szCs w:val="28"/>
        </w:rPr>
        <w:t xml:space="preserve"> региональным оператором в  случае  наличия оснований для применения такого способа коммерческого учета, в том числе фактическое наличие индивидуальной контейнерной площадки и заявленных потребителем характеристик контейнерной площадки, включая контейнеры.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bookmarkStart w:id="0" w:name="_Hlk90291957"/>
      <w:r>
        <w:rPr>
          <w:rFonts w:ascii="Times New Roman" w:hAnsi="Times New Roman" w:cs="Times New Roman"/>
          <w:sz w:val="28"/>
          <w:szCs w:val="28"/>
        </w:rPr>
        <w:t xml:space="preserve">Направить отсканированный вариант </w:t>
      </w:r>
      <w:r>
        <w:rPr>
          <w:rFonts w:ascii="Times New Roman" w:hAnsi="Times New Roman" w:cs="Times New Roman"/>
          <w:sz w:val="28"/>
          <w:szCs w:val="28"/>
        </w:rPr>
        <w:t xml:space="preserve">заполненной </w:t>
      </w:r>
      <w:r>
        <w:rPr>
          <w:rFonts w:ascii="Times New Roman" w:hAnsi="Times New Roman" w:cs="Times New Roman"/>
          <w:sz w:val="28"/>
          <w:szCs w:val="28"/>
        </w:rPr>
        <w:t xml:space="preserve">заявки вместе с</w:t>
      </w:r>
      <w:r>
        <w:rPr>
          <w:rFonts w:ascii="Times New Roman" w:hAnsi="Times New Roman" w:cs="Times New Roman"/>
          <w:sz w:val="28"/>
          <w:szCs w:val="28"/>
        </w:rPr>
        <w:t xml:space="preserve"> электронными образами запрошенных </w:t>
      </w:r>
      <w:r>
        <w:rPr>
          <w:rFonts w:ascii="Times New Roman" w:hAnsi="Times New Roman" w:cs="Times New Roman"/>
          <w:sz w:val="28"/>
          <w:szCs w:val="28"/>
        </w:rPr>
        <w:t xml:space="preserve">документов </w:t>
      </w:r>
      <w:r>
        <w:rPr>
          <w:rFonts w:ascii="Times New Roman" w:hAnsi="Times New Roman" w:cs="Times New Roman"/>
          <w:sz w:val="28"/>
          <w:szCs w:val="28"/>
        </w:rPr>
        <w:t xml:space="preserve">на электронную </w:t>
      </w:r>
      <w:r>
        <w:rPr>
          <w:rFonts w:ascii="Times New Roman" w:hAnsi="Times New Roman" w:cs="Times New Roman"/>
          <w:sz w:val="28"/>
          <w:szCs w:val="28"/>
        </w:rPr>
        <w:t xml:space="preserve">почту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office</w:t>
      </w:r>
      <w:r>
        <w:rPr>
          <w:rFonts w:ascii="Times New Roman" w:hAnsi="Times New Roman" w:cs="Times New Roman"/>
          <w:sz w:val="28"/>
          <w:szCs w:val="28"/>
        </w:rPr>
        <w:t xml:space="preserve">@spb-neo.ru, </w:t>
      </w: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 передать оригиналы документов в Клиентском офисе Акционерного общества «Петербургская сбытовая компания» (Санкт-П</w:t>
      </w:r>
      <w:r>
        <w:rPr>
          <w:rFonts w:ascii="Times New Roman" w:hAnsi="Times New Roman" w:cs="Times New Roman"/>
          <w:sz w:val="28"/>
          <w:szCs w:val="28"/>
        </w:rPr>
        <w:t xml:space="preserve">етербург, </w:t>
      </w:r>
      <w:r>
        <w:rPr>
          <w:rFonts w:ascii="Times New Roman" w:hAnsi="Times New Roman" w:cs="Times New Roman"/>
          <w:sz w:val="28"/>
          <w:szCs w:val="28"/>
        </w:rPr>
        <w:br/>
        <w:t xml:space="preserve">ул. Михайлова, д. 11</w:t>
      </w:r>
      <w:r>
        <w:rPr>
          <w:rFonts w:ascii="Times New Roman" w:hAnsi="Times New Roman" w:cs="Times New Roman"/>
          <w:sz w:val="28"/>
          <w:szCs w:val="28"/>
        </w:rPr>
        <w:t xml:space="preserve">), в офисе Регионального оператора (</w:t>
      </w:r>
      <w:r>
        <w:rPr>
          <w:rFonts w:ascii="Times New Roman" w:hAnsi="Times New Roman" w:cs="Times New Roman"/>
          <w:sz w:val="28"/>
          <w:szCs w:val="28"/>
        </w:rPr>
        <w:t xml:space="preserve">Санкт-Петербург, </w:t>
      </w:r>
      <w:r>
        <w:rPr>
          <w:rFonts w:ascii="Times New Roman" w:hAnsi="Times New Roman" w:cs="Times New Roman"/>
          <w:sz w:val="28"/>
          <w:szCs w:val="28"/>
        </w:rPr>
        <w:t xml:space="preserve">Кондратьевский пр., д.1</w:t>
      </w:r>
      <w:r>
        <w:rPr>
          <w:rFonts w:ascii="Times New Roman" w:hAnsi="Times New Roman" w:cs="Times New Roman"/>
          <w:sz w:val="28"/>
          <w:szCs w:val="28"/>
        </w:rPr>
        <w:t xml:space="preserve">5 корпус 3 БЦ «Кондратьевский»</w:t>
      </w:r>
      <w:r>
        <w:rPr>
          <w:rFonts w:ascii="Times New Roman" w:hAnsi="Times New Roman" w:cs="Times New Roman"/>
          <w:sz w:val="28"/>
          <w:szCs w:val="28"/>
        </w:rPr>
        <w:t xml:space="preserve">), или посредством почтового отправления по адресу: 195009, Санкт-Петербург, ул. Арс</w:t>
      </w:r>
      <w:r>
        <w:rPr>
          <w:rFonts w:ascii="Times New Roman" w:hAnsi="Times New Roman" w:cs="Times New Roman"/>
          <w:sz w:val="28"/>
          <w:szCs w:val="28"/>
        </w:rPr>
        <w:t xml:space="preserve">енальная, д.1, корпус 2, литера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А, </w:t>
      </w:r>
      <w:r>
        <w:rPr>
          <w:rFonts w:ascii="Times New Roman" w:hAnsi="Times New Roman" w:cs="Times New Roman"/>
          <w:sz w:val="28"/>
          <w:szCs w:val="28"/>
        </w:rPr>
        <w:t xml:space="preserve">помещение 1Н-23 (часть)</w:t>
      </w:r>
      <w:r>
        <w:rPr>
          <w:rFonts w:ascii="Times New Roman" w:hAnsi="Times New Roman" w:cs="Times New Roman"/>
          <w:sz w:val="28"/>
          <w:szCs w:val="28"/>
        </w:rPr>
        <w:t xml:space="preserve">, или </w:t>
      </w:r>
      <w:r>
        <w:rPr>
          <w:rFonts w:ascii="Times New Roman" w:hAnsi="Times New Roman" w:cs="Times New Roman"/>
          <w:sz w:val="28"/>
          <w:szCs w:val="28"/>
        </w:rPr>
        <w:t xml:space="preserve">через Клиентские залы АО «ЕИРЦ СПб</w:t>
      </w:r>
      <w:r>
        <w:rPr>
          <w:rFonts w:ascii="Times New Roman" w:hAnsi="Times New Roman" w:cs="Times New Roman"/>
          <w:sz w:val="28"/>
          <w:szCs w:val="28"/>
        </w:rPr>
        <w:t xml:space="preserve">» с адресами расположения которых можно ознакомиться на сайте регионального оператора </w:t>
      </w:r>
      <w:hyperlink r:id="rId9" w:tooltip="http://www.spb-neo.ru" w:history="1">
        <w:r>
          <w:rPr>
            <w:rStyle w:val="839"/>
            <w:rFonts w:ascii="Times New Roman" w:hAnsi="Times New Roman" w:cs="Times New Roman"/>
            <w:sz w:val="28"/>
            <w:szCs w:val="28"/>
            <w:lang w:val="en-US"/>
          </w:rPr>
          <w:t xml:space="preserve">www</w:t>
        </w:r>
        <w:r>
          <w:rPr>
            <w:rStyle w:val="839"/>
            <w:rFonts w:ascii="Times New Roman" w:hAnsi="Times New Roman" w:cs="Times New Roman"/>
            <w:sz w:val="28"/>
            <w:szCs w:val="28"/>
          </w:rPr>
          <w:t xml:space="preserve">.</w:t>
        </w:r>
        <w:r>
          <w:rPr>
            <w:rStyle w:val="839"/>
            <w:rFonts w:ascii="Times New Roman" w:hAnsi="Times New Roman" w:cs="Times New Roman"/>
            <w:sz w:val="28"/>
            <w:szCs w:val="28"/>
            <w:lang w:val="en-US"/>
          </w:rPr>
          <w:t xml:space="preserve">spb</w:t>
        </w:r>
        <w:r>
          <w:rPr>
            <w:rStyle w:val="839"/>
            <w:rFonts w:ascii="Times New Roman" w:hAnsi="Times New Roman" w:cs="Times New Roman"/>
            <w:sz w:val="28"/>
            <w:szCs w:val="28"/>
          </w:rPr>
          <w:t xml:space="preserve">-</w:t>
        </w:r>
        <w:r>
          <w:rPr>
            <w:rStyle w:val="839"/>
            <w:rFonts w:ascii="Times New Roman" w:hAnsi="Times New Roman" w:cs="Times New Roman"/>
            <w:sz w:val="28"/>
            <w:szCs w:val="28"/>
            <w:lang w:val="en-US"/>
          </w:rPr>
          <w:t xml:space="preserve">neo</w:t>
        </w:r>
        <w:r>
          <w:rPr>
            <w:rStyle w:val="839"/>
            <w:rFonts w:ascii="Times New Roman" w:hAnsi="Times New Roman" w:cs="Times New Roman"/>
            <w:sz w:val="28"/>
            <w:szCs w:val="28"/>
          </w:rPr>
          <w:t xml:space="preserve">.</w:t>
        </w:r>
        <w:r>
          <w:rPr>
            <w:rStyle w:val="839"/>
            <w:rFonts w:ascii="Times New Roman" w:hAnsi="Times New Roman" w:cs="Times New Roman"/>
            <w:sz w:val="28"/>
            <w:szCs w:val="28"/>
            <w:lang w:val="en-US"/>
          </w:rPr>
          <w:t xml:space="preserve">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во вкладке Контакты,  Справочная информация.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Региональный оператор проверит корректность заполнения заявки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br/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случае</w:t>
      </w:r>
      <w:r>
        <w:rPr>
          <w:rFonts w:ascii="Times New Roman" w:hAnsi="Times New Roman" w:cs="Times New Roman"/>
          <w:sz w:val="28"/>
          <w:szCs w:val="28"/>
        </w:rPr>
        <w:t xml:space="preserve"> если в заявке Потребителя отсутствуют необходимые сведения (документы) в течение 5 рабочих </w:t>
      </w:r>
      <w:r>
        <w:rPr>
          <w:rFonts w:ascii="Times New Roman" w:hAnsi="Times New Roman" w:cs="Times New Roman"/>
          <w:sz w:val="28"/>
          <w:szCs w:val="28"/>
        </w:rPr>
        <w:t xml:space="preserve">дней </w:t>
      </w:r>
      <w:r>
        <w:rPr>
          <w:rFonts w:ascii="Times New Roman" w:hAnsi="Times New Roman" w:cs="Times New Roman"/>
          <w:b/>
          <w:sz w:val="28"/>
          <w:szCs w:val="28"/>
        </w:rPr>
        <w:t xml:space="preserve">со дня получения заявки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направит </w:t>
      </w:r>
      <w:r>
        <w:rPr>
          <w:rFonts w:ascii="Times New Roman" w:hAnsi="Times New Roman" w:cs="Times New Roman"/>
          <w:sz w:val="28"/>
          <w:szCs w:val="28"/>
        </w:rPr>
        <w:t xml:space="preserve">уведомление </w:t>
      </w:r>
      <w:r>
        <w:rPr>
          <w:rFonts w:ascii="Times New Roman" w:hAnsi="Times New Roman" w:cs="Times New Roman"/>
          <w:sz w:val="28"/>
          <w:szCs w:val="28"/>
        </w:rPr>
        <w:t xml:space="preserve">о необходимости представить недостающие </w:t>
      </w:r>
      <w:r>
        <w:rPr>
          <w:rFonts w:ascii="Times New Roman" w:hAnsi="Times New Roman" w:cs="Times New Roman"/>
          <w:sz w:val="28"/>
          <w:szCs w:val="28"/>
        </w:rPr>
        <w:t xml:space="preserve">(</w:t>
      </w:r>
      <w:r>
        <w:rPr>
          <w:rFonts w:ascii="Times New Roman" w:hAnsi="Times New Roman" w:cs="Times New Roman"/>
          <w:sz w:val="28"/>
          <w:szCs w:val="28"/>
        </w:rPr>
        <w:t xml:space="preserve">документы</w:t>
      </w:r>
      <w:r>
        <w:rPr>
          <w:rFonts w:ascii="Times New Roman" w:hAnsi="Times New Roman" w:cs="Times New Roman"/>
          <w:sz w:val="28"/>
          <w:szCs w:val="28"/>
        </w:rPr>
        <w:t xml:space="preserve">). При наличии полного пакета документов </w:t>
      </w:r>
      <w:r>
        <w:rPr>
          <w:rFonts w:ascii="Times New Roman" w:hAnsi="Times New Roman" w:cs="Times New Roman"/>
          <w:sz w:val="28"/>
          <w:szCs w:val="28"/>
        </w:rPr>
        <w:t xml:space="preserve">в течение</w:t>
      </w:r>
      <w:r>
        <w:rPr>
          <w:rFonts w:ascii="Times New Roman" w:hAnsi="Times New Roman" w:cs="Times New Roman"/>
          <w:sz w:val="28"/>
          <w:szCs w:val="28"/>
        </w:rPr>
        <w:t xml:space="preserve"> 15 </w:t>
      </w:r>
      <w:r>
        <w:rPr>
          <w:rFonts w:ascii="Times New Roman" w:hAnsi="Times New Roman" w:cs="Times New Roman"/>
          <w:sz w:val="28"/>
          <w:szCs w:val="28"/>
        </w:rPr>
        <w:t xml:space="preserve">рабочих </w:t>
      </w:r>
      <w:r>
        <w:rPr>
          <w:rFonts w:ascii="Times New Roman" w:hAnsi="Times New Roman" w:cs="Times New Roman"/>
          <w:sz w:val="28"/>
          <w:szCs w:val="28"/>
        </w:rPr>
        <w:t xml:space="preserve">дней </w:t>
      </w:r>
      <w:r>
        <w:rPr>
          <w:rFonts w:ascii="Times New Roman" w:hAnsi="Times New Roman" w:cs="Times New Roman"/>
          <w:b/>
          <w:sz w:val="28"/>
          <w:szCs w:val="28"/>
        </w:rPr>
        <w:t xml:space="preserve">со дня получения заявки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подготовит </w:t>
      </w:r>
      <w:r>
        <w:rPr>
          <w:rFonts w:ascii="Times New Roman" w:hAnsi="Times New Roman" w:cs="Times New Roman"/>
          <w:sz w:val="28"/>
          <w:szCs w:val="28"/>
        </w:rPr>
        <w:t xml:space="preserve">проект договора в 2-ух экземплярах для подписания Потребителем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>
        <w:rPr>
          <w:rFonts w:ascii="Times New Roman" w:hAnsi="Times New Roman" w:cs="Times New Roman"/>
          <w:sz w:val="28"/>
          <w:szCs w:val="28"/>
        </w:rPr>
        <w:t xml:space="preserve">Договор можно получить самостоятельно в офисе </w:t>
      </w:r>
      <w:r>
        <w:rPr>
          <w:rFonts w:ascii="Times New Roman" w:hAnsi="Times New Roman" w:cs="Times New Roman"/>
          <w:sz w:val="28"/>
          <w:szCs w:val="28"/>
        </w:rPr>
        <w:br/>
        <w:t xml:space="preserve">Регионального оператора (Санкт-Петербург, Кондратьевский пр., д.15 корпус 3 БЦ «Кондратьевский»), посредством почтового отправления по адресу: 195009, Санкт-Петербург, ул. Арсенальная, д.1, корпус 2, литера А, помещение 1Н-23 (часть)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Способ получения договора необходимо выбрать при заполнении заявки.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необходимости получения договора в офисе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Акционерного общества «Петербургская сбытовая компания» (</w:t>
      </w:r>
      <w:r>
        <w:rPr>
          <w:rFonts w:ascii="Times New Roman" w:hAnsi="Times New Roman" w:cs="Times New Roman"/>
          <w:sz w:val="28"/>
          <w:szCs w:val="28"/>
        </w:rPr>
        <w:t xml:space="preserve">Санкт-Петербург, </w:t>
      </w:r>
      <w:r>
        <w:rPr>
          <w:rFonts w:ascii="Times New Roman" w:hAnsi="Times New Roman" w:cs="Times New Roman"/>
          <w:sz w:val="28"/>
          <w:szCs w:val="28"/>
        </w:rPr>
        <w:t xml:space="preserve">ул. Михайлова, д. 11</w:t>
      </w:r>
      <w:r>
        <w:rPr>
          <w:rFonts w:ascii="Times New Roman" w:hAnsi="Times New Roman" w:cs="Times New Roman"/>
          <w:sz w:val="28"/>
          <w:szCs w:val="28"/>
        </w:rPr>
        <w:t xml:space="preserve">) 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через Клиентские залы АО «ЕИРЦ СПб» </w:t>
      </w:r>
      <w:r>
        <w:rPr>
          <w:rFonts w:ascii="Times New Roman" w:hAnsi="Times New Roman" w:cs="Times New Roman"/>
          <w:sz w:val="28"/>
          <w:szCs w:val="28"/>
        </w:rPr>
        <w:t xml:space="preserve">следует дополнительно уведомить Регионального оператора через форму обратной связи на сайте регионального оператора.</w:t>
      </w:r>
      <w:r>
        <w:rPr>
          <w:rFonts w:ascii="Times New Roman" w:hAnsi="Times New Roman" w:cs="Times New Roman"/>
          <w:sz w:val="28"/>
          <w:szCs w:val="28"/>
        </w:rPr>
        <w:t xml:space="preserve"> С адресами расположения клиентских залов </w:t>
      </w:r>
      <w:r>
        <w:rPr>
          <w:rFonts w:ascii="Times New Roman" w:hAnsi="Times New Roman" w:cs="Times New Roman"/>
          <w:sz w:val="28"/>
          <w:szCs w:val="28"/>
        </w:rPr>
        <w:t xml:space="preserve">АО «ЕИРЦ СПб» </w:t>
      </w:r>
      <w:r>
        <w:rPr>
          <w:rFonts w:ascii="Times New Roman" w:hAnsi="Times New Roman" w:cs="Times New Roman"/>
          <w:sz w:val="28"/>
          <w:szCs w:val="28"/>
        </w:rPr>
        <w:t xml:space="preserve">можно ознакомиться на сайте регионального оператора </w:t>
      </w:r>
      <w:hyperlink r:id="rId10" w:tooltip="http://www.spb-neo.ru" w:history="1">
        <w:r>
          <w:rPr>
            <w:rStyle w:val="839"/>
            <w:rFonts w:ascii="Times New Roman" w:hAnsi="Times New Roman" w:cs="Times New Roman"/>
            <w:sz w:val="28"/>
            <w:szCs w:val="28"/>
            <w:lang w:val="en-US"/>
          </w:rPr>
          <w:t xml:space="preserve">www</w:t>
        </w:r>
        <w:r>
          <w:rPr>
            <w:rStyle w:val="839"/>
            <w:rFonts w:ascii="Times New Roman" w:hAnsi="Times New Roman" w:cs="Times New Roman"/>
            <w:sz w:val="28"/>
            <w:szCs w:val="28"/>
          </w:rPr>
          <w:t xml:space="preserve">.</w:t>
        </w:r>
        <w:r>
          <w:rPr>
            <w:rStyle w:val="839"/>
            <w:rFonts w:ascii="Times New Roman" w:hAnsi="Times New Roman" w:cs="Times New Roman"/>
            <w:sz w:val="28"/>
            <w:szCs w:val="28"/>
            <w:lang w:val="en-US"/>
          </w:rPr>
          <w:t xml:space="preserve">spb</w:t>
        </w:r>
        <w:r>
          <w:rPr>
            <w:rStyle w:val="839"/>
            <w:rFonts w:ascii="Times New Roman" w:hAnsi="Times New Roman" w:cs="Times New Roman"/>
            <w:sz w:val="28"/>
            <w:szCs w:val="28"/>
          </w:rPr>
          <w:t xml:space="preserve">-</w:t>
        </w:r>
        <w:r>
          <w:rPr>
            <w:rStyle w:val="839"/>
            <w:rFonts w:ascii="Times New Roman" w:hAnsi="Times New Roman" w:cs="Times New Roman"/>
            <w:sz w:val="28"/>
            <w:szCs w:val="28"/>
            <w:lang w:val="en-US"/>
          </w:rPr>
          <w:t xml:space="preserve">neo</w:t>
        </w:r>
        <w:r>
          <w:rPr>
            <w:rStyle w:val="839"/>
            <w:rFonts w:ascii="Times New Roman" w:hAnsi="Times New Roman" w:cs="Times New Roman"/>
            <w:sz w:val="28"/>
            <w:szCs w:val="28"/>
          </w:rPr>
          <w:t xml:space="preserve">.</w:t>
        </w:r>
        <w:r>
          <w:rPr>
            <w:rStyle w:val="839"/>
            <w:rFonts w:ascii="Times New Roman" w:hAnsi="Times New Roman" w:cs="Times New Roman"/>
            <w:sz w:val="28"/>
            <w:szCs w:val="28"/>
            <w:lang w:val="en-US"/>
          </w:rPr>
          <w:t xml:space="preserve">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во вкладке Контакты, Справочная информация.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После получения договора необхо</w:t>
      </w:r>
      <w:bookmarkStart w:id="1" w:name="_GoBack"/>
      <w:r/>
      <w:bookmarkEnd w:id="1"/>
      <w:r>
        <w:rPr>
          <w:rFonts w:ascii="Times New Roman" w:hAnsi="Times New Roman" w:cs="Times New Roman"/>
          <w:sz w:val="28"/>
          <w:szCs w:val="28"/>
        </w:rPr>
        <w:t xml:space="preserve">димо его подписать и </w:t>
      </w:r>
      <w:r>
        <w:rPr>
          <w:rFonts w:ascii="Times New Roman" w:hAnsi="Times New Roman" w:cs="Times New Roman"/>
          <w:sz w:val="28"/>
          <w:szCs w:val="28"/>
        </w:rPr>
        <w:t xml:space="preserve">в течение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15 </w:t>
      </w:r>
      <w:r>
        <w:rPr>
          <w:rFonts w:ascii="Times New Roman" w:hAnsi="Times New Roman" w:cs="Times New Roman"/>
          <w:sz w:val="28"/>
          <w:szCs w:val="28"/>
        </w:rPr>
        <w:t xml:space="preserve">рабочих </w:t>
      </w:r>
      <w:r>
        <w:rPr>
          <w:rFonts w:ascii="Times New Roman" w:hAnsi="Times New Roman" w:cs="Times New Roman"/>
          <w:sz w:val="28"/>
          <w:szCs w:val="28"/>
        </w:rPr>
        <w:t xml:space="preserve">дней 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со дня поступления 2-х экземпляров проекта договора</w:t>
      </w:r>
      <w:r>
        <w:rPr>
          <w:rFonts w:ascii="Times New Roman" w:hAnsi="Times New Roman" w:cs="Times New Roman"/>
          <w:sz w:val="28"/>
          <w:szCs w:val="28"/>
        </w:rPr>
        <w:t xml:space="preserve"> Потребитель обязан </w:t>
      </w:r>
      <w:r>
        <w:rPr>
          <w:rFonts w:ascii="Times New Roman" w:hAnsi="Times New Roman" w:cs="Times New Roman"/>
          <w:sz w:val="28"/>
          <w:szCs w:val="28"/>
        </w:rPr>
        <w:t xml:space="preserve">направить Региональному оператору его экземпляр договора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bookmarkEnd w:id="0"/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>
        <w:rPr>
          <w:rFonts w:ascii="Times New Roman" w:hAnsi="Times New Roman" w:cs="Times New Roman"/>
          <w:sz w:val="28"/>
          <w:szCs w:val="28"/>
        </w:rPr>
        <w:t xml:space="preserve">В случае предоставления неполного пакета документов и получения уведомления о необходимости представить недостающие сведения (документы) такие документы должны быть предоставлены Региональному оператору в течение 15 рабочих дней с даты получения уведомлени</w:t>
      </w:r>
      <w:r>
        <w:rPr>
          <w:rFonts w:ascii="Times New Roman" w:hAnsi="Times New Roman" w:cs="Times New Roman"/>
          <w:sz w:val="28"/>
          <w:szCs w:val="28"/>
        </w:rPr>
        <w:t xml:space="preserve">я П</w:t>
      </w:r>
      <w:r>
        <w:rPr>
          <w:rFonts w:ascii="Times New Roman" w:hAnsi="Times New Roman" w:cs="Times New Roman"/>
          <w:sz w:val="28"/>
          <w:szCs w:val="28"/>
        </w:rPr>
        <w:t xml:space="preserve">отребителем. На этот период рассмотрение заявки Региональным оператором приостанавливается. В случае </w:t>
      </w:r>
      <w:r>
        <w:rPr>
          <w:rFonts w:ascii="Times New Roman" w:hAnsi="Times New Roman" w:cs="Times New Roman"/>
          <w:sz w:val="28"/>
          <w:szCs w:val="28"/>
        </w:rPr>
        <w:t xml:space="preserve">непредставления</w:t>
      </w:r>
      <w:r>
        <w:rPr>
          <w:rFonts w:ascii="Times New Roman" w:hAnsi="Times New Roman" w:cs="Times New Roman"/>
          <w:sz w:val="28"/>
          <w:szCs w:val="28"/>
        </w:rPr>
        <w:t xml:space="preserve"> недостающих документов в установленный срок, рассмотрение заявки </w:t>
      </w:r>
      <w:r>
        <w:rPr>
          <w:rFonts w:ascii="Times New Roman" w:hAnsi="Times New Roman" w:cs="Times New Roman"/>
          <w:sz w:val="28"/>
          <w:szCs w:val="28"/>
        </w:rPr>
        <w:t xml:space="preserve">прекращается,</w:t>
      </w:r>
      <w:r>
        <w:rPr>
          <w:rFonts w:ascii="Times New Roman" w:hAnsi="Times New Roman" w:cs="Times New Roman"/>
          <w:sz w:val="28"/>
          <w:szCs w:val="28"/>
        </w:rPr>
        <w:t xml:space="preserve"> и она возвращается П</w:t>
      </w:r>
      <w:r>
        <w:rPr>
          <w:rFonts w:ascii="Times New Roman" w:hAnsi="Times New Roman" w:cs="Times New Roman"/>
          <w:sz w:val="28"/>
          <w:szCs w:val="28"/>
        </w:rPr>
        <w:t xml:space="preserve">отребителю.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Договор в таком случае считается заключенным на условиях типового договора </w:t>
      </w:r>
      <w:r>
        <w:rPr>
          <w:rFonts w:ascii="Times New Roman" w:hAnsi="Times New Roman" w:cs="Times New Roman"/>
          <w:sz w:val="28"/>
          <w:szCs w:val="28"/>
        </w:rPr>
        <w:t xml:space="preserve">на оказание услуг по обращению с ТКО </w:t>
      </w:r>
      <w:r>
        <w:rPr>
          <w:rFonts w:ascii="Times New Roman" w:hAnsi="Times New Roman" w:cs="Times New Roman"/>
          <w:sz w:val="28"/>
          <w:szCs w:val="28"/>
        </w:rPr>
        <w:t xml:space="preserve">с датой начала действия,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по общему правилу, с даты начала оказания услуг Региональным оператором.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center"/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Инст</w:t>
      </w:r>
      <w:r>
        <w:rPr>
          <w:rFonts w:ascii="Times New Roman" w:hAnsi="Times New Roman" w:cs="Times New Roman"/>
          <w:sz w:val="28"/>
          <w:szCs w:val="28"/>
        </w:rPr>
        <w:t xml:space="preserve">рукция по </w:t>
      </w:r>
      <w:r>
        <w:rPr>
          <w:rFonts w:ascii="Times New Roman" w:hAnsi="Times New Roman" w:cs="Times New Roman"/>
          <w:sz w:val="28"/>
          <w:szCs w:val="28"/>
        </w:rPr>
        <w:t xml:space="preserve">формированию</w:t>
      </w:r>
      <w:r>
        <w:rPr>
          <w:rFonts w:ascii="Times New Roman" w:hAnsi="Times New Roman" w:cs="Times New Roman"/>
          <w:sz w:val="28"/>
          <w:szCs w:val="28"/>
        </w:rPr>
        <w:t xml:space="preserve"> заявки</w:t>
      </w:r>
      <w:r>
        <w:rPr>
          <w:rFonts w:ascii="Times New Roman" w:hAnsi="Times New Roman" w:cs="Times New Roman"/>
          <w:sz w:val="28"/>
          <w:szCs w:val="28"/>
        </w:rPr>
        <w:t xml:space="preserve">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center"/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Выберите свой вариант</w:t>
      </w:r>
      <w:r>
        <w:rPr>
          <w:rFonts w:ascii="Times New Roman" w:hAnsi="Times New Roman" w:cs="Times New Roman"/>
          <w:sz w:val="28"/>
          <w:szCs w:val="28"/>
        </w:rPr>
        <w:t xml:space="preserve"> заявки</w:t>
      </w:r>
      <w:r>
        <w:rPr>
          <w:rFonts w:ascii="Times New Roman" w:hAnsi="Times New Roman" w:cs="Times New Roman"/>
          <w:sz w:val="28"/>
          <w:szCs w:val="28"/>
        </w:rPr>
        <w:t xml:space="preserve">, заполните, приложите сканированные копии указанных документов.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Документы, необходимые для заключения Договора: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Заявка на заключение</w:t>
      </w:r>
      <w:r>
        <w:rPr>
          <w:rFonts w:ascii="Times New Roman" w:hAnsi="Times New Roman" w:cs="Times New Roman"/>
          <w:sz w:val="28"/>
          <w:szCs w:val="28"/>
        </w:rPr>
        <w:t xml:space="preserve"> договора по обращению с ТКО с Р</w:t>
      </w:r>
      <w:r>
        <w:rPr>
          <w:rFonts w:ascii="Times New Roman" w:hAnsi="Times New Roman" w:cs="Times New Roman"/>
          <w:sz w:val="28"/>
          <w:szCs w:val="28"/>
        </w:rPr>
        <w:t xml:space="preserve">егиональным оператором, заполненная по утвержденной форме;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Копия решения/протокола о назначении руководителя</w:t>
      </w:r>
      <w:r>
        <w:rPr>
          <w:rFonts w:ascii="Times New Roman" w:hAnsi="Times New Roman" w:cs="Times New Roman"/>
          <w:sz w:val="28"/>
          <w:szCs w:val="28"/>
        </w:rPr>
        <w:t xml:space="preserve"> (для ЮЛ)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 Копия доверенности на представителя (если договор заключается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по доверенности);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Копия документа о присвоении ОГРН</w:t>
      </w:r>
      <w:r>
        <w:rPr>
          <w:rFonts w:ascii="Times New Roman" w:hAnsi="Times New Roman" w:cs="Times New Roman"/>
          <w:sz w:val="28"/>
          <w:szCs w:val="28"/>
        </w:rPr>
        <w:t xml:space="preserve"> (ОГРНИП)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Копия документа о присвоении ИНН/КПП;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Для физического лица - копия паспорта или иного документа, удостоверяющего личность с указанием ФИО, серии, номера и даты выдачи паспорта </w:t>
      </w:r>
      <w:r>
        <w:rPr>
          <w:rFonts w:ascii="Times New Roman" w:hAnsi="Times New Roman" w:cs="Times New Roman"/>
          <w:sz w:val="28"/>
          <w:szCs w:val="28"/>
        </w:rPr>
        <w:t xml:space="preserve">или иного документа, удостоверяющего личность</w:t>
      </w:r>
      <w:r>
        <w:rPr>
          <w:rFonts w:ascii="Times New Roman" w:hAnsi="Times New Roman" w:cs="Times New Roman"/>
          <w:sz w:val="28"/>
          <w:szCs w:val="28"/>
        </w:rPr>
        <w:t xml:space="preserve">, адреса регистрации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по месту жительства.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</w:t>
      </w:r>
      <w:r>
        <w:rPr>
          <w:rFonts w:ascii="Times New Roman" w:hAnsi="Times New Roman" w:cs="Times New Roman"/>
          <w:sz w:val="28"/>
          <w:szCs w:val="28"/>
        </w:rPr>
        <w:t xml:space="preserve">. Копия документа удостоверяющего личность представителя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по доверенности (если договор заключается по доверенности);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Заполненное согласие на обработку персональных данных.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</w:t>
      </w:r>
      <w:r>
        <w:rPr>
          <w:rFonts w:ascii="Times New Roman" w:hAnsi="Times New Roman" w:cs="Times New Roman"/>
          <w:sz w:val="28"/>
          <w:szCs w:val="28"/>
        </w:rPr>
        <w:t xml:space="preserve">. Копия документа, подтверждающего право собственности или иное законное основание возникновения у потребителя прав владения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и (или) пользования нежилым помещением/объектом</w:t>
      </w:r>
      <w:r>
        <w:rPr>
          <w:rFonts w:ascii="Times New Roman" w:hAnsi="Times New Roman" w:cs="Times New Roman"/>
          <w:sz w:val="28"/>
          <w:szCs w:val="28"/>
        </w:rPr>
        <w:t xml:space="preserve">/земельным участком/движимым имуществом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(полная копия всего документа и дополнительных соглашений при наличии)</w:t>
      </w:r>
      <w:r>
        <w:rPr>
          <w:rFonts w:ascii="Times New Roman" w:hAnsi="Times New Roman" w:cs="Times New Roman"/>
          <w:sz w:val="28"/>
          <w:szCs w:val="28"/>
        </w:rPr>
        <w:t xml:space="preserve">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76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• Выписка из Единого государственного реестра недвижимости, (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актуальная не более 30 дней),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709"/>
        <w:jc w:val="both"/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Договор аренды</w:t>
      </w:r>
      <w:r>
        <w:rPr>
          <w:rFonts w:ascii="Times New Roman" w:hAnsi="Times New Roman" w:cs="Times New Roman"/>
          <w:sz w:val="28"/>
          <w:szCs w:val="28"/>
        </w:rPr>
        <w:t xml:space="preserve"> (в случае наличия в нем полномочия </w:t>
      </w:r>
      <w:r>
        <w:rPr>
          <w:rFonts w:ascii="Times New Roman" w:hAnsi="Times New Roman" w:cs="Times New Roman"/>
          <w:sz w:val="28"/>
          <w:szCs w:val="28"/>
        </w:rPr>
        <w:t xml:space="preserve">арендатора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на заключение договора на оказание услуг по обращению с ТКО непосредственно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с региональным оператором)</w:t>
      </w:r>
      <w:r>
        <w:rPr>
          <w:rFonts w:ascii="Times New Roman" w:hAnsi="Times New Roman" w:cs="Times New Roman"/>
          <w:sz w:val="28"/>
          <w:szCs w:val="28"/>
        </w:rPr>
        <w:t xml:space="preserve">,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76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Договор безвозмездного пользования, и </w:t>
      </w:r>
      <w:r>
        <w:rPr>
          <w:rFonts w:ascii="Times New Roman" w:hAnsi="Times New Roman" w:cs="Times New Roman"/>
          <w:sz w:val="28"/>
          <w:szCs w:val="28"/>
        </w:rPr>
        <w:t xml:space="preserve">иные документы в </w:t>
      </w:r>
      <w:r>
        <w:rPr>
          <w:rFonts w:ascii="Times New Roman" w:hAnsi="Times New Roman" w:cs="Times New Roman"/>
          <w:sz w:val="28"/>
          <w:szCs w:val="28"/>
        </w:rPr>
        <w:t xml:space="preserve">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с законодательством РФ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подтверждающие наличие права законного владения </w:t>
      </w:r>
      <w:r>
        <w:rPr>
          <w:rFonts w:ascii="Times New Roman" w:hAnsi="Times New Roman" w:eastAsia="Times New Roman" w:cs="Times New Roman"/>
          <w:sz w:val="28"/>
          <w:szCs w:val="28"/>
        </w:rPr>
        <w:br/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или пользования объектом, в отношении которого заключается договор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567"/>
        <w:jc w:val="both"/>
        <w:spacing w:after="0" w:line="276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</w:t>
      </w:r>
      <w:r>
        <w:rPr>
          <w:rFonts w:ascii="Times New Roman" w:hAnsi="Times New Roman" w:cs="Times New Roman"/>
          <w:sz w:val="28"/>
          <w:szCs w:val="28"/>
        </w:rPr>
        <w:tab/>
        <w:t xml:space="preserve"> Сведения о площади и виде разрешенного использования земельного участка (например, выписка из </w:t>
      </w:r>
      <w:r>
        <w:rPr>
          <w:rFonts w:ascii="Times New Roman" w:hAnsi="Times New Roman" w:cs="Times New Roman"/>
          <w:sz w:val="28"/>
          <w:szCs w:val="28"/>
        </w:rPr>
        <w:t xml:space="preserve">Единого государственного реестра недвижимости</w:t>
      </w:r>
      <w:r>
        <w:rPr>
          <w:rFonts w:ascii="Times New Roman" w:hAnsi="Times New Roman" w:cs="Times New Roman"/>
          <w:sz w:val="28"/>
          <w:szCs w:val="28"/>
        </w:rPr>
        <w:t xml:space="preserve">).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after="0" w:line="276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after="0" w:line="276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10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 Документы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отходообразователя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в области обращения с отходами: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numPr>
          <w:ilvl w:val="0"/>
          <w:numId w:val="1"/>
        </w:numPr>
        <w:contextualSpacing/>
        <w:ind w:left="993"/>
        <w:jc w:val="both"/>
        <w:spacing w:after="0" w:line="276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Копия паспорта отходов для IV класса опасности;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numPr>
          <w:ilvl w:val="0"/>
          <w:numId w:val="1"/>
        </w:numPr>
        <w:contextualSpacing/>
        <w:ind w:left="993"/>
        <w:jc w:val="both"/>
        <w:spacing w:after="0" w:line="276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Копии протоколов компонентно-химического (или морфологического) состава и протоколов биотестирования для отходов V класса опасности.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contextualSpacing/>
        <w:ind w:left="993"/>
        <w:jc w:val="both"/>
        <w:spacing w:after="0" w:line="276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contextualSpacing/>
        <w:jc w:val="both"/>
        <w:spacing w:after="0" w:line="276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         11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 Сведения о местах (площадках) накопления ТКО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: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after="0" w:line="276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11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.1. В случае наличия у юридического лица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индивидуального предпринимателя/физического лица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индивидуального места (площадки) накопления ТКО необходимо </w:t>
      </w:r>
      <w:bookmarkStart w:id="2" w:name="_Hlk88168064"/>
      <w:r>
        <w:rPr>
          <w:rFonts w:ascii="Times New Roman" w:hAnsi="Times New Roman" w:eastAsia="Times New Roman" w:cs="Times New Roman"/>
          <w:sz w:val="28"/>
          <w:szCs w:val="28"/>
        </w:rPr>
        <w:t xml:space="preserve">предоставить следующие сведения: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after="0" w:line="276" w:lineRule="auto"/>
        <w:rPr>
          <w:rFonts w:ascii="Times New Roman" w:hAnsi="Times New Roman" w:eastAsia="Times New Roman" w:cs="Times New Roman"/>
          <w:sz w:val="28"/>
          <w:szCs w:val="28"/>
          <w:highlight w:val="cyan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• Фото контейнерной площадки -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фотографирование конте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йнерной площадки осуществляется с лицевой и с боковой стороны таким образом, чтобы на изображениях были отчетливо видны все конструктивные элементы контейнера: захваты, цапфы, гребенки и иные элементы, предназначенные для механизированной загрузки и выгруз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ки контейнера. Контейнер доложен быть изображен полностью, без частичного обрезания, с сохранением целостности визуального восприятия его габаритов и конструктивных особенностей. Минимальный объем контейнера, подлежащего верификации, составляет 0,36 куб.м.</w:t>
      </w:r>
      <w:r>
        <w:rPr>
          <w:rFonts w:ascii="Times New Roman" w:hAnsi="Times New Roman" w:eastAsia="Times New Roman" w:cs="Times New Roman"/>
          <w:sz w:val="28"/>
          <w:szCs w:val="28"/>
          <w:highlight w:val="cyan"/>
        </w:rPr>
      </w:r>
      <w:r>
        <w:rPr>
          <w:rFonts w:ascii="Times New Roman" w:hAnsi="Times New Roman" w:eastAsia="Times New Roman" w:cs="Times New Roman"/>
          <w:sz w:val="28"/>
          <w:szCs w:val="28"/>
          <w:highlight w:val="cyan"/>
        </w:rPr>
      </w:r>
    </w:p>
    <w:p>
      <w:pPr>
        <w:ind w:firstLine="709"/>
        <w:jc w:val="both"/>
        <w:spacing w:after="0" w:line="276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• Схема расположения контейнерной площадки с указанием географических координат ее расположения.</w:t>
      </w:r>
      <w:bookmarkEnd w:id="2"/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after="0" w:line="276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after="0" w:line="276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12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Необходимо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предоставить сведения, подтверждающие показатели (расчетные единицы), необходимые для расчета нормативов накопления ТКО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согласно П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риложению №1 – Подтверждающие документы расчетных единиц нормативов накопления.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after="0" w:line="276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after="0" w:line="276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3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 В случае наличия арендаторов либо субарендаторов, осуществляющих деятельность на объектах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потребителя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необходимо предоставить сведения о данных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лицах и применяемым ими способе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отхо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дообразования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и договорах, заключенных </w:t>
      </w:r>
      <w:r>
        <w:rPr>
          <w:rFonts w:ascii="Times New Roman" w:hAnsi="Times New Roman" w:eastAsia="Times New Roman" w:cs="Times New Roman"/>
          <w:sz w:val="28"/>
          <w:szCs w:val="28"/>
        </w:rPr>
        <w:br/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 ними.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709"/>
        <w:jc w:val="both"/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76" w:lineRule="auto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hint="default" w:ascii="Arimo" w:hAnsi="Arimo" w:eastAsia="Arimo" w:cs="Arimo"/>
          <w:sz w:val="24"/>
          <w:szCs w:val="24"/>
          <w:highlight w:val="none"/>
        </w:rPr>
        <w:t xml:space="preserve">*</w:t>
      </w:r>
      <w:r>
        <w:rPr>
          <w:rFonts w:ascii="Times New Roman" w:hAnsi="Times New Roman" w:cs="Times New Roman"/>
          <w:sz w:val="20"/>
          <w:szCs w:val="20"/>
          <w:highlight w:val="none"/>
        </w:rPr>
        <w:t xml:space="preserve">При условии запроса на внесение изменений в действующий договор Региональный оператор может запросить дополнительные документы, например: копии платежных документов, фото помещений и прочее.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</w:p>
    <w:p>
      <w:pPr>
        <w:ind w:firstLine="709"/>
        <w:jc w:val="both"/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sectPr>
      <w:footnotePr/>
      <w:endnotePr/>
      <w:type w:val="nextPage"/>
      <w:pgSz w:w="11906" w:h="16838" w:orient="portrait"/>
      <w:pgMar w:top="568" w:right="707" w:bottom="568" w:left="85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mo">
    <w:panose1 w:val="020B0604020202020204"/>
  </w:font>
  <w:font w:name="Courier New">
    <w:panose1 w:val="02070409020205020404"/>
  </w:font>
  <w:font w:name="Symbol">
    <w:panose1 w:val="05010000000000000000"/>
  </w:font>
  <w:font w:name="Segoe UI">
    <w:panose1 w:val="020B0502040504020204"/>
  </w:font>
  <w:font w:name="Wingdings">
    <w:panose1 w:val="05010000000000000000"/>
  </w:font>
  <w:font w:name="Liberation Sans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9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9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9">
    <w:name w:val="Heading 1"/>
    <w:basedOn w:val="835"/>
    <w:next w:val="835"/>
    <w:link w:val="660"/>
    <w:uiPriority w:val="9"/>
    <w:qFormat/>
    <w:pPr>
      <w:keepLines/>
      <w:keepNext/>
      <w:spacing w:before="480" w:after="200"/>
      <w:outlineLvl w:val="0"/>
    </w:pPr>
    <w:rPr>
      <w:rFonts w:ascii="Liberation Sans" w:hAnsi="Liberation Sans" w:eastAsia="Liberation Sans" w:cs="Liberation Sans"/>
      <w:sz w:val="40"/>
      <w:szCs w:val="40"/>
    </w:rPr>
  </w:style>
  <w:style w:type="character" w:styleId="660">
    <w:name w:val="Heading 1 Char"/>
    <w:basedOn w:val="836"/>
    <w:link w:val="659"/>
    <w:uiPriority w:val="9"/>
    <w:rPr>
      <w:rFonts w:ascii="Liberation Sans" w:hAnsi="Liberation Sans" w:eastAsia="Liberation Sans" w:cs="Liberation Sans"/>
      <w:sz w:val="40"/>
      <w:szCs w:val="40"/>
    </w:rPr>
  </w:style>
  <w:style w:type="paragraph" w:styleId="661">
    <w:name w:val="Heading 2"/>
    <w:basedOn w:val="835"/>
    <w:next w:val="835"/>
    <w:link w:val="662"/>
    <w:uiPriority w:val="9"/>
    <w:unhideWhenUsed/>
    <w:qFormat/>
    <w:pPr>
      <w:keepLines/>
      <w:keepNext/>
      <w:spacing w:before="360" w:after="200"/>
      <w:outlineLvl w:val="1"/>
    </w:pPr>
    <w:rPr>
      <w:rFonts w:ascii="Liberation Sans" w:hAnsi="Liberation Sans" w:eastAsia="Liberation Sans" w:cs="Liberation Sans"/>
      <w:sz w:val="34"/>
    </w:rPr>
  </w:style>
  <w:style w:type="character" w:styleId="662">
    <w:name w:val="Heading 2 Char"/>
    <w:basedOn w:val="836"/>
    <w:link w:val="661"/>
    <w:uiPriority w:val="9"/>
    <w:rPr>
      <w:rFonts w:ascii="Liberation Sans" w:hAnsi="Liberation Sans" w:eastAsia="Liberation Sans" w:cs="Liberation Sans"/>
      <w:sz w:val="34"/>
    </w:rPr>
  </w:style>
  <w:style w:type="paragraph" w:styleId="663">
    <w:name w:val="Heading 3"/>
    <w:basedOn w:val="835"/>
    <w:next w:val="835"/>
    <w:link w:val="664"/>
    <w:uiPriority w:val="9"/>
    <w:unhideWhenUsed/>
    <w:qFormat/>
    <w:pPr>
      <w:keepLines/>
      <w:keepNext/>
      <w:spacing w:before="320" w:after="200"/>
      <w:outlineLvl w:val="2"/>
    </w:pPr>
    <w:rPr>
      <w:rFonts w:ascii="Liberation Sans" w:hAnsi="Liberation Sans" w:eastAsia="Liberation Sans" w:cs="Liberation Sans"/>
      <w:sz w:val="30"/>
      <w:szCs w:val="30"/>
    </w:rPr>
  </w:style>
  <w:style w:type="character" w:styleId="664">
    <w:name w:val="Heading 3 Char"/>
    <w:basedOn w:val="836"/>
    <w:link w:val="663"/>
    <w:uiPriority w:val="9"/>
    <w:rPr>
      <w:rFonts w:ascii="Liberation Sans" w:hAnsi="Liberation Sans" w:eastAsia="Liberation Sans" w:cs="Liberation Sans"/>
      <w:sz w:val="30"/>
      <w:szCs w:val="30"/>
    </w:rPr>
  </w:style>
  <w:style w:type="paragraph" w:styleId="665">
    <w:name w:val="Heading 4"/>
    <w:basedOn w:val="835"/>
    <w:next w:val="835"/>
    <w:link w:val="666"/>
    <w:uiPriority w:val="9"/>
    <w:unhideWhenUsed/>
    <w:qFormat/>
    <w:pPr>
      <w:keepLines/>
      <w:keepNext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666">
    <w:name w:val="Heading 4 Char"/>
    <w:basedOn w:val="836"/>
    <w:link w:val="665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paragraph" w:styleId="667">
    <w:name w:val="Heading 5"/>
    <w:basedOn w:val="835"/>
    <w:next w:val="835"/>
    <w:link w:val="668"/>
    <w:uiPriority w:val="9"/>
    <w:unhideWhenUsed/>
    <w:qFormat/>
    <w:pPr>
      <w:keepLines/>
      <w:keepNext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668">
    <w:name w:val="Heading 5 Char"/>
    <w:basedOn w:val="836"/>
    <w:link w:val="667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669">
    <w:name w:val="Heading 6"/>
    <w:basedOn w:val="835"/>
    <w:next w:val="835"/>
    <w:link w:val="670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670">
    <w:name w:val="Heading 6 Char"/>
    <w:basedOn w:val="836"/>
    <w:link w:val="669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671">
    <w:name w:val="Heading 7"/>
    <w:basedOn w:val="835"/>
    <w:next w:val="835"/>
    <w:link w:val="672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672">
    <w:name w:val="Heading 7 Char"/>
    <w:basedOn w:val="836"/>
    <w:link w:val="671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673">
    <w:name w:val="Heading 8"/>
    <w:basedOn w:val="835"/>
    <w:next w:val="835"/>
    <w:link w:val="674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674">
    <w:name w:val="Heading 8 Char"/>
    <w:basedOn w:val="836"/>
    <w:link w:val="673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675">
    <w:name w:val="Heading 9"/>
    <w:basedOn w:val="835"/>
    <w:next w:val="835"/>
    <w:link w:val="676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676">
    <w:name w:val="Heading 9 Char"/>
    <w:basedOn w:val="836"/>
    <w:link w:val="675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677">
    <w:name w:val="No Spacing"/>
    <w:uiPriority w:val="1"/>
    <w:qFormat/>
    <w:pPr>
      <w:spacing w:before="0" w:after="0" w:line="240" w:lineRule="auto"/>
    </w:pPr>
  </w:style>
  <w:style w:type="paragraph" w:styleId="678">
    <w:name w:val="Title"/>
    <w:basedOn w:val="835"/>
    <w:next w:val="835"/>
    <w:link w:val="67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9">
    <w:name w:val="Title Char"/>
    <w:basedOn w:val="836"/>
    <w:link w:val="678"/>
    <w:uiPriority w:val="10"/>
    <w:rPr>
      <w:sz w:val="48"/>
      <w:szCs w:val="48"/>
    </w:rPr>
  </w:style>
  <w:style w:type="paragraph" w:styleId="680">
    <w:name w:val="Subtitle"/>
    <w:basedOn w:val="835"/>
    <w:next w:val="835"/>
    <w:link w:val="681"/>
    <w:uiPriority w:val="11"/>
    <w:qFormat/>
    <w:pPr>
      <w:spacing w:before="200" w:after="200"/>
    </w:pPr>
    <w:rPr>
      <w:sz w:val="24"/>
      <w:szCs w:val="24"/>
    </w:rPr>
  </w:style>
  <w:style w:type="character" w:styleId="681">
    <w:name w:val="Subtitle Char"/>
    <w:basedOn w:val="836"/>
    <w:link w:val="680"/>
    <w:uiPriority w:val="11"/>
    <w:rPr>
      <w:sz w:val="24"/>
      <w:szCs w:val="24"/>
    </w:rPr>
  </w:style>
  <w:style w:type="paragraph" w:styleId="682">
    <w:name w:val="Quote"/>
    <w:basedOn w:val="835"/>
    <w:next w:val="835"/>
    <w:link w:val="683"/>
    <w:uiPriority w:val="29"/>
    <w:qFormat/>
    <w:pPr>
      <w:ind w:left="720" w:right="720"/>
    </w:pPr>
    <w:rPr>
      <w:i/>
    </w:rPr>
  </w:style>
  <w:style w:type="character" w:styleId="683">
    <w:name w:val="Quote Char"/>
    <w:link w:val="682"/>
    <w:uiPriority w:val="29"/>
    <w:rPr>
      <w:i/>
    </w:rPr>
  </w:style>
  <w:style w:type="paragraph" w:styleId="684">
    <w:name w:val="Intense Quote"/>
    <w:basedOn w:val="835"/>
    <w:next w:val="835"/>
    <w:link w:val="68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5">
    <w:name w:val="Intense Quote Char"/>
    <w:link w:val="684"/>
    <w:uiPriority w:val="30"/>
    <w:rPr>
      <w:i/>
    </w:rPr>
  </w:style>
  <w:style w:type="paragraph" w:styleId="686">
    <w:name w:val="Header"/>
    <w:basedOn w:val="835"/>
    <w:link w:val="68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7">
    <w:name w:val="Header Char"/>
    <w:basedOn w:val="836"/>
    <w:link w:val="686"/>
    <w:uiPriority w:val="99"/>
  </w:style>
  <w:style w:type="paragraph" w:styleId="688">
    <w:name w:val="Footer"/>
    <w:basedOn w:val="835"/>
    <w:link w:val="68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9">
    <w:name w:val="Footer Char"/>
    <w:basedOn w:val="836"/>
    <w:link w:val="688"/>
    <w:uiPriority w:val="99"/>
  </w:style>
  <w:style w:type="paragraph" w:styleId="690">
    <w:name w:val="Caption"/>
    <w:basedOn w:val="835"/>
    <w:next w:val="835"/>
    <w:link w:val="69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91">
    <w:name w:val="Caption Char"/>
    <w:basedOn w:val="836"/>
    <w:link w:val="690"/>
    <w:uiPriority w:val="35"/>
    <w:rPr>
      <w:b/>
      <w:bCs/>
      <w:color w:val="4f81bd" w:themeColor="accent1"/>
      <w:sz w:val="18"/>
      <w:szCs w:val="18"/>
    </w:rPr>
  </w:style>
  <w:style w:type="table" w:styleId="692">
    <w:name w:val="Table Grid"/>
    <w:basedOn w:val="837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3">
    <w:name w:val="Table Grid Light"/>
    <w:basedOn w:val="83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4">
    <w:name w:val="Plain Table 1"/>
    <w:basedOn w:val="83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695">
    <w:name w:val="Plain Table 2"/>
    <w:basedOn w:val="83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696">
    <w:name w:val="Plain Table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7">
    <w:name w:val="Plain Table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Plain Table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9">
    <w:name w:val="Grid Table 1 Light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1 Light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1 Light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Grid Table 1 Light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5">
    <w:name w:val="Grid Table 1 Light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6">
    <w:name w:val="Grid Table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2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2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2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2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3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3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3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3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4"/>
    <w:basedOn w:val="8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1">
    <w:name w:val="Grid Table 4 - Accent 1"/>
    <w:basedOn w:val="8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2">
    <w:name w:val="Grid Table 4 - Accent 2"/>
    <w:basedOn w:val="8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3">
    <w:name w:val="Grid Table 4 - Accent 3"/>
    <w:basedOn w:val="8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4">
    <w:name w:val="Grid Table 4 - Accent 4"/>
    <w:basedOn w:val="8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5">
    <w:name w:val="Grid Table 4 - Accent 5"/>
    <w:basedOn w:val="8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6">
    <w:name w:val="Grid Table 4 - Accent 6"/>
    <w:basedOn w:val="8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7">
    <w:name w:val="Grid Table 5 Dark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8">
    <w:name w:val="Grid Table 5 Dark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30">
    <w:name w:val="Grid Table 5 Dark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31">
    <w:name w:val="Grid Table 5 Dark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32">
    <w:name w:val="Grid Table 5 Dark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33">
    <w:name w:val="Grid Table 5 Dark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34">
    <w:name w:val="Grid Table 6 Colorful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735">
    <w:name w:val="Grid Table 6 Colorful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736">
    <w:name w:val="Grid Table 6 Colorful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737">
    <w:name w:val="Grid Table 6 Colorful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738">
    <w:name w:val="Grid Table 6 Colorful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739">
    <w:name w:val="Grid Table 6 Colorful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740">
    <w:name w:val="Grid Table 6 Colorful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741">
    <w:name w:val="Grid Table 7 Colorful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Liberation Sans" w:hAnsi="Liberation Sans"/>
        <w:color w:val="317bba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7 Colorful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606060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7 Colorful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7 Colorful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Liberation Sans" w:hAnsi="Liberation Sans"/>
        <w:color w:val="254374" w:themeColor="accent5" w:themeShade="95"/>
        <w:sz w:val="22"/>
      </w:rPr>
    </w:tblStylePr>
    <w:tblStylePr w:type="firstCol">
      <w:rPr>
        <w:rFonts w:ascii="Liberation Sans" w:hAnsi="Liberation Sans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7 Colorful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26429" w:themeColor="accent6" w:themeShade="95"/>
        <w:sz w:val="22"/>
      </w:rPr>
    </w:tblStylePr>
    <w:tblStylePr w:type="firstCol">
      <w:rPr>
        <w:rFonts w:ascii="Liberation Sans" w:hAnsi="Liberation Sans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1 Light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List Table 1 Light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List Table 1 Light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List Table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6">
    <w:name w:val="List Table 2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7">
    <w:name w:val="List Table 2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8">
    <w:name w:val="List Table 2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9">
    <w:name w:val="List Table 2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60">
    <w:name w:val="List Table 2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61">
    <w:name w:val="List Table 2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2">
    <w:name w:val="List Table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3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3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3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3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4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4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4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5 Dark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7">
    <w:name w:val="List Table 5 Dark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8">
    <w:name w:val="List Table 5 Dark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9">
    <w:name w:val="List Table 5 Dark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80">
    <w:name w:val="List Table 5 Dark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81">
    <w:name w:val="List Table 5 Dark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82">
    <w:name w:val="List Table 5 Dark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83">
    <w:name w:val="List Table 6 Colorful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4">
    <w:name w:val="List Table 6 Colorful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5">
    <w:name w:val="List Table 6 Colorful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6">
    <w:name w:val="List Table 6 Colorful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7">
    <w:name w:val="List Table 6 Colorful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8">
    <w:name w:val="List Table 6 Colorful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9">
    <w:name w:val="List Table 6 Colorful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90">
    <w:name w:val="List Table 7 Colorful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791">
    <w:name w:val="List Table 7 Colorful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Liberation Sans" w:hAnsi="Liberation Sans"/>
        <w:color w:val="245d8d" w:themeColor="accent1" w:themeShade="95"/>
        <w:sz w:val="22"/>
      </w:rPr>
    </w:tblStylePr>
    <w:tblStylePr w:type="firstCol">
      <w:rPr>
        <w:rFonts w:ascii="Liberation Sans" w:hAnsi="Liberation Sans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245d8d" w:themeColor="accent1" w:themeShade="95"/>
        <w:sz w:val="22"/>
      </w:rPr>
    </w:tblStylePr>
  </w:style>
  <w:style w:type="table" w:styleId="792">
    <w:name w:val="List Table 7 Colorful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c95712" w:themeColor="accent2" w:themeTint="97" w:themeShade="95"/>
        <w:sz w:val="22"/>
      </w:rPr>
    </w:tblStylePr>
  </w:style>
  <w:style w:type="table" w:styleId="793">
    <w:name w:val="List Table 7 Colorful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757575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757575" w:themeColor="accent3" w:themeTint="98" w:themeShade="95"/>
        <w:sz w:val="22"/>
      </w:rPr>
    </w:tblStylePr>
  </w:style>
  <w:style w:type="table" w:styleId="794">
    <w:name w:val="List Table 7 Colorful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cd9600" w:themeColor="accent4" w:themeTint="9A" w:themeShade="95"/>
        <w:sz w:val="22"/>
      </w:rPr>
    </w:tblStylePr>
  </w:style>
  <w:style w:type="table" w:styleId="795">
    <w:name w:val="List Table 7 Colorful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Liberation Sans" w:hAnsi="Liberation Sans"/>
        <w:color w:val="335e9e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335e9e" w:themeColor="accent5" w:themeTint="9A" w:themeShade="95"/>
        <w:sz w:val="22"/>
      </w:rPr>
    </w:tblStylePr>
  </w:style>
  <w:style w:type="table" w:styleId="796">
    <w:name w:val="List Table 7 Colorful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5f8f3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5f8f3c" w:themeColor="accent6" w:themeTint="98" w:themeShade="95"/>
        <w:sz w:val="22"/>
      </w:rPr>
    </w:tblStylePr>
  </w:style>
  <w:style w:type="table" w:styleId="797">
    <w:name w:val="Lined - Accent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8">
    <w:name w:val="Lined - Accent 1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9">
    <w:name w:val="Lined - Accent 2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0">
    <w:name w:val="Lined - Accent 3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1">
    <w:name w:val="Lined - Accent 4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2">
    <w:name w:val="Lined - Accent 5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3">
    <w:name w:val="Lined - Accent 6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4">
    <w:name w:val="Bordered &amp; Lined - Accent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5">
    <w:name w:val="Bordered &amp; Lined - Accent 1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6">
    <w:name w:val="Bordered &amp; Lined - Accent 2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7">
    <w:name w:val="Bordered &amp; Lined - Accent 3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8">
    <w:name w:val="Bordered &amp; Lined - Accent 4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9">
    <w:name w:val="Bordered &amp; Lined - Accent 5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10">
    <w:name w:val="Bordered &amp; Lined - Accent 6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11">
    <w:name w:val="Bordered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2">
    <w:name w:val="Bordered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3">
    <w:name w:val="Bordered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4">
    <w:name w:val="Bordered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5">
    <w:name w:val="Bordered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6">
    <w:name w:val="Bordered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7">
    <w:name w:val="Bordered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18">
    <w:name w:val="footnote text"/>
    <w:basedOn w:val="835"/>
    <w:link w:val="819"/>
    <w:uiPriority w:val="99"/>
    <w:semiHidden/>
    <w:unhideWhenUsed/>
    <w:pPr>
      <w:spacing w:after="40" w:line="240" w:lineRule="auto"/>
    </w:pPr>
    <w:rPr>
      <w:sz w:val="18"/>
    </w:rPr>
  </w:style>
  <w:style w:type="character" w:styleId="819">
    <w:name w:val="Footnote Text Char"/>
    <w:link w:val="818"/>
    <w:uiPriority w:val="99"/>
    <w:rPr>
      <w:sz w:val="18"/>
    </w:rPr>
  </w:style>
  <w:style w:type="character" w:styleId="820">
    <w:name w:val="footnote reference"/>
    <w:basedOn w:val="836"/>
    <w:uiPriority w:val="99"/>
    <w:unhideWhenUsed/>
    <w:rPr>
      <w:vertAlign w:val="superscript"/>
    </w:rPr>
  </w:style>
  <w:style w:type="paragraph" w:styleId="821">
    <w:name w:val="endnote text"/>
    <w:basedOn w:val="835"/>
    <w:link w:val="822"/>
    <w:uiPriority w:val="99"/>
    <w:semiHidden/>
    <w:unhideWhenUsed/>
    <w:pPr>
      <w:spacing w:after="0" w:line="240" w:lineRule="auto"/>
    </w:pPr>
    <w:rPr>
      <w:sz w:val="20"/>
    </w:rPr>
  </w:style>
  <w:style w:type="character" w:styleId="822">
    <w:name w:val="Endnote Text Char"/>
    <w:link w:val="821"/>
    <w:uiPriority w:val="99"/>
    <w:rPr>
      <w:sz w:val="20"/>
    </w:rPr>
  </w:style>
  <w:style w:type="character" w:styleId="823">
    <w:name w:val="endnote reference"/>
    <w:basedOn w:val="836"/>
    <w:uiPriority w:val="99"/>
    <w:semiHidden/>
    <w:unhideWhenUsed/>
    <w:rPr>
      <w:vertAlign w:val="superscript"/>
    </w:rPr>
  </w:style>
  <w:style w:type="paragraph" w:styleId="824">
    <w:name w:val="toc 1"/>
    <w:basedOn w:val="835"/>
    <w:next w:val="835"/>
    <w:uiPriority w:val="39"/>
    <w:unhideWhenUsed/>
    <w:pPr>
      <w:ind w:left="0" w:right="0" w:firstLine="0"/>
      <w:spacing w:after="57"/>
    </w:pPr>
  </w:style>
  <w:style w:type="paragraph" w:styleId="825">
    <w:name w:val="toc 2"/>
    <w:basedOn w:val="835"/>
    <w:next w:val="835"/>
    <w:uiPriority w:val="39"/>
    <w:unhideWhenUsed/>
    <w:pPr>
      <w:ind w:left="283" w:right="0" w:firstLine="0"/>
      <w:spacing w:after="57"/>
    </w:pPr>
  </w:style>
  <w:style w:type="paragraph" w:styleId="826">
    <w:name w:val="toc 3"/>
    <w:basedOn w:val="835"/>
    <w:next w:val="835"/>
    <w:uiPriority w:val="39"/>
    <w:unhideWhenUsed/>
    <w:pPr>
      <w:ind w:left="567" w:right="0" w:firstLine="0"/>
      <w:spacing w:after="57"/>
    </w:pPr>
  </w:style>
  <w:style w:type="paragraph" w:styleId="827">
    <w:name w:val="toc 4"/>
    <w:basedOn w:val="835"/>
    <w:next w:val="835"/>
    <w:uiPriority w:val="39"/>
    <w:unhideWhenUsed/>
    <w:pPr>
      <w:ind w:left="850" w:right="0" w:firstLine="0"/>
      <w:spacing w:after="57"/>
    </w:pPr>
  </w:style>
  <w:style w:type="paragraph" w:styleId="828">
    <w:name w:val="toc 5"/>
    <w:basedOn w:val="835"/>
    <w:next w:val="835"/>
    <w:uiPriority w:val="39"/>
    <w:unhideWhenUsed/>
    <w:pPr>
      <w:ind w:left="1134" w:right="0" w:firstLine="0"/>
      <w:spacing w:after="57"/>
    </w:pPr>
  </w:style>
  <w:style w:type="paragraph" w:styleId="829">
    <w:name w:val="toc 6"/>
    <w:basedOn w:val="835"/>
    <w:next w:val="835"/>
    <w:uiPriority w:val="39"/>
    <w:unhideWhenUsed/>
    <w:pPr>
      <w:ind w:left="1417" w:right="0" w:firstLine="0"/>
      <w:spacing w:after="57"/>
    </w:pPr>
  </w:style>
  <w:style w:type="paragraph" w:styleId="830">
    <w:name w:val="toc 7"/>
    <w:basedOn w:val="835"/>
    <w:next w:val="835"/>
    <w:uiPriority w:val="39"/>
    <w:unhideWhenUsed/>
    <w:pPr>
      <w:ind w:left="1701" w:right="0" w:firstLine="0"/>
      <w:spacing w:after="57"/>
    </w:pPr>
  </w:style>
  <w:style w:type="paragraph" w:styleId="831">
    <w:name w:val="toc 8"/>
    <w:basedOn w:val="835"/>
    <w:next w:val="835"/>
    <w:uiPriority w:val="39"/>
    <w:unhideWhenUsed/>
    <w:pPr>
      <w:ind w:left="1984" w:right="0" w:firstLine="0"/>
      <w:spacing w:after="57"/>
    </w:pPr>
  </w:style>
  <w:style w:type="paragraph" w:styleId="832">
    <w:name w:val="toc 9"/>
    <w:basedOn w:val="835"/>
    <w:next w:val="835"/>
    <w:uiPriority w:val="39"/>
    <w:unhideWhenUsed/>
    <w:pPr>
      <w:ind w:left="2268" w:right="0" w:firstLine="0"/>
      <w:spacing w:after="57"/>
    </w:pPr>
  </w:style>
  <w:style w:type="paragraph" w:styleId="833">
    <w:name w:val="TOC Heading"/>
    <w:uiPriority w:val="39"/>
    <w:unhideWhenUsed/>
  </w:style>
  <w:style w:type="paragraph" w:styleId="834">
    <w:name w:val="table of figures"/>
    <w:basedOn w:val="835"/>
    <w:next w:val="835"/>
    <w:uiPriority w:val="99"/>
    <w:unhideWhenUsed/>
    <w:pPr>
      <w:spacing w:after="0" w:afterAutospacing="0"/>
    </w:pPr>
  </w:style>
  <w:style w:type="paragraph" w:styleId="835" w:default="1">
    <w:name w:val="Normal"/>
    <w:qFormat/>
  </w:style>
  <w:style w:type="character" w:styleId="836" w:default="1">
    <w:name w:val="Default Paragraph Font"/>
    <w:uiPriority w:val="1"/>
    <w:semiHidden/>
    <w:unhideWhenUsed/>
  </w:style>
  <w:style w:type="table" w:styleId="83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8" w:default="1">
    <w:name w:val="No List"/>
    <w:uiPriority w:val="99"/>
    <w:semiHidden/>
    <w:unhideWhenUsed/>
  </w:style>
  <w:style w:type="character" w:styleId="839">
    <w:name w:val="Hyperlink"/>
    <w:basedOn w:val="836"/>
    <w:uiPriority w:val="99"/>
    <w:unhideWhenUsed/>
    <w:rPr>
      <w:color w:val="0563c1" w:themeColor="hyperlink"/>
      <w:u w:val="single"/>
    </w:rPr>
  </w:style>
  <w:style w:type="paragraph" w:styleId="840">
    <w:name w:val="Balloon Text"/>
    <w:basedOn w:val="835"/>
    <w:link w:val="841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841" w:customStyle="1">
    <w:name w:val="Текст выноски Знак"/>
    <w:basedOn w:val="836"/>
    <w:link w:val="840"/>
    <w:uiPriority w:val="99"/>
    <w:semiHidden/>
    <w:rPr>
      <w:rFonts w:ascii="Segoe UI" w:hAnsi="Segoe UI" w:cs="Segoe UI"/>
      <w:sz w:val="18"/>
      <w:szCs w:val="18"/>
    </w:rPr>
  </w:style>
  <w:style w:type="paragraph" w:styleId="842">
    <w:name w:val="List Paragraph"/>
    <w:basedOn w:val="835"/>
    <w:uiPriority w:val="34"/>
    <w:qFormat/>
    <w:pPr>
      <w:contextualSpacing/>
      <w:ind w:left="720"/>
    </w:pPr>
  </w:style>
  <w:style w:type="character" w:styleId="843" w:customStyle="1">
    <w:name w:val="Unresolved Mention"/>
    <w:basedOn w:val="836"/>
    <w:uiPriority w:val="99"/>
    <w:semiHidden/>
    <w:unhideWhenUsed/>
    <w:rPr>
      <w:color w:val="605e5c"/>
      <w:shd w:val="clear" w:color="auto" w:fill="e1dfdd"/>
    </w:rPr>
  </w:style>
  <w:style w:type="character" w:styleId="844">
    <w:name w:val="FollowedHyperlink"/>
    <w:basedOn w:val="836"/>
    <w:uiPriority w:val="99"/>
    <w:semiHidden/>
    <w:unhideWhenUsed/>
    <w:rPr>
      <w:color w:val="954f72" w:themeColor="followedHyperlink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yperlink" Target="http://www.spb-neo.ru" TargetMode="External"/><Relationship Id="rId10" Type="http://schemas.openxmlformats.org/officeDocument/2006/relationships/hyperlink" Target="http://www.spb-neo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Тихоненко Вероника Викторовна</dc:creator>
  <cp:keywords/>
  <dc:description/>
  <cp:lastModifiedBy>e.manakova</cp:lastModifiedBy>
  <cp:revision>10</cp:revision>
  <dcterms:created xsi:type="dcterms:W3CDTF">2024-01-11T16:28:00Z</dcterms:created>
  <dcterms:modified xsi:type="dcterms:W3CDTF">2026-04-16T12:23:15Z</dcterms:modified>
</cp:coreProperties>
</file>